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10"/>
        <w:gridCol w:w="9405"/>
        <w:tblGridChange w:id="0">
          <w:tblGrid>
            <w:gridCol w:w="3510"/>
            <w:gridCol w:w="94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jc w:val="center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</w:rPr>
              <w:drawing>
                <wp:inline distB="114300" distT="114300" distL="114300" distR="114300">
                  <wp:extent cx="1828800" cy="121619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123" l="0" r="0" t="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21619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before="200" w:lineRule="auto"/>
              <w:rPr>
                <w:rFonts w:ascii="Fugaz One" w:cs="Fugaz One" w:eastAsia="Fugaz One" w:hAnsi="Fugaz One"/>
                <w:b w:val="1"/>
                <w:sz w:val="120"/>
                <w:szCs w:val="120"/>
              </w:rPr>
            </w:pPr>
            <w:r w:rsidDel="00000000" w:rsidR="00000000" w:rsidRPr="00000000">
              <w:rPr>
                <w:rFonts w:ascii="Fugaz One" w:cs="Fugaz One" w:eastAsia="Fugaz One" w:hAnsi="Fugaz One"/>
                <w:b w:val="1"/>
                <w:sz w:val="120"/>
                <w:szCs w:val="120"/>
                <w:rtl w:val="0"/>
              </w:rPr>
              <w:t xml:space="preserve">EXPLANATION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>
          <w:rFonts w:ascii="Proxima Nova" w:cs="Proxima Nova" w:eastAsia="Proxima Nova" w:hAnsi="Proxima Nova"/>
          <w:i w:val="1"/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6480"/>
        <w:tblGridChange w:id="0">
          <w:tblGrid>
            <w:gridCol w:w="6480"/>
            <w:gridCol w:w="6480"/>
          </w:tblGrid>
        </w:tblGridChange>
      </w:tblGrid>
      <w:tr>
        <w:trPr>
          <w:cantSplit w:val="0"/>
          <w:trHeight w:val="711.9999999999999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00" w:lineRule="auto"/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Understanding the 12 key concepts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6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i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The 12 key concepts are ones that have been identified as having a particular significant relationship to knowledge. 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6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i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Understanding, exploring, and using these concepts will help you to understand the way knowledge is produced and used, within the core and optional themes, and the areas of knowledge. 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6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i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You should also try to use the key concepts as extensively as possible in the two TOK assessment tasks.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00" w:lineRule="auto"/>
              <w:rPr>
                <w:rFonts w:ascii="Proxima Nova" w:cs="Proxima Nova" w:eastAsia="Proxima Nova" w:hAnsi="Proxima Nova"/>
                <w:b w:val="1"/>
                <w:color w:val="cc4125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Starting points for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sz w:val="28"/>
                <w:szCs w:val="28"/>
                <w:rtl w:val="0"/>
              </w:rPr>
              <w:t xml:space="preserve">explanation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4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How many online definitions can you find for ‘explanation’? 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4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Which one do you think best sums up this concept, and why?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4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Which of the quotes below do you think provides us with the best insight into explanation? Are there any you disagree with?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4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What constitutes an effective explanation for you?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4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How might the possession of power change the way we understand the world?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lineRule="auto"/>
              <w:rPr>
                <w:rFonts w:ascii="Proxima Nova" w:cs="Proxima Nova" w:eastAsia="Proxima Nova" w:hAnsi="Proxima Nova"/>
                <w:color w:val="cc4125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Quotes on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sz w:val="28"/>
                <w:szCs w:val="28"/>
                <w:rtl w:val="0"/>
              </w:rPr>
              <w:t xml:space="preserve">explanation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7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To one who has faith, no explanation is necessary. To one without faith, no explanation is possible. </w:t>
            </w:r>
            <w:hyperlink r:id="rId7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u w:val="single"/>
                  <w:rtl w:val="0"/>
                </w:rPr>
                <w:t xml:space="preserve">Thomas Aquinas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7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A little inaccuracy sometimes saves a ton of explanation. </w:t>
            </w:r>
            <w:hyperlink r:id="rId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u w:val="single"/>
                  <w:rtl w:val="0"/>
                </w:rPr>
                <w:t xml:space="preserve">Hector Hugh Munro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7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The reason people turn to supernatural explanations is that the mind abhors a vacuum of explanation. Because we do not yet have a fully natural explanation for mind and consciousness, people turn to supernatural explanations to fill the void. </w:t>
            </w:r>
            <w:hyperlink r:id="rId9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u w:val="single"/>
                  <w:rtl w:val="0"/>
                </w:rPr>
                <w:t xml:space="preserve">Michael Shermer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7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Explanation separates us from astonishment, which is the only gateway to the incomprehensible. </w:t>
            </w:r>
            <w:hyperlink r:id="rId1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u w:val="single"/>
                  <w:rtl w:val="0"/>
                </w:rPr>
                <w:t xml:space="preserve">Eugene Ionesco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7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If I have learned anything as a scientist, it is that one should not make things complicated when a simple explanation will do. </w:t>
            </w:r>
            <w:hyperlink r:id="rId11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u w:val="single"/>
                  <w:rtl w:val="0"/>
                </w:rPr>
                <w:t xml:space="preserve">Ivar Giaever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00" w:lineRule="auto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Interlinking the key concepts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How do explanations vary from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rtl w:val="0"/>
              </w:rPr>
              <w:t xml:space="preserve">justifications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Can we explain anything without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rtl w:val="0"/>
              </w:rPr>
              <w:t xml:space="preserve">evidence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Do our explanations depend on our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rtl w:val="0"/>
              </w:rPr>
              <w:t xml:space="preserve">perspective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Do our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rtl w:val="0"/>
              </w:rPr>
              <w:t xml:space="preserve">values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help or hinder us from explaining the world?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What’s the difference between explaining something, and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rtl w:val="0"/>
              </w:rPr>
              <w:t xml:space="preserve">interpreting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it?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00" w:lineRule="auto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Relating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sz w:val="28"/>
                <w:szCs w:val="28"/>
                <w:rtl w:val="0"/>
              </w:rPr>
              <w:t xml:space="preserve">explanation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 to the TOK course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Is our ability to explain wholly dependent on our ability to use language?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In which areas of knowledge are explanations easiest/most difficult to construct?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Does technology help or hinder our ability to explain our claims?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How do indigenous explanations about the world differ from those in large-scale societies?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00" w:lineRule="auto"/>
              <w:rPr>
                <w:rFonts w:ascii="Proxima Nova" w:cs="Proxima Nova" w:eastAsia="Proxima Nova" w:hAnsi="Proxima Nova"/>
                <w:b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Relating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sz w:val="28"/>
                <w:szCs w:val="28"/>
                <w:rtl w:val="0"/>
              </w:rPr>
              <w:t xml:space="preserve">explanation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 to the TOK exhibition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IAP-4: Think about how an explanation might make us doubt a claim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IAP-10: Think about the challenges associated with communicating knowledge via explanations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IAP-24: Think about how the context of an explanation determines whether knowledge will be accepted or rejected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IAP-32: Think about what constitutes a good explanation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00" w:lineRule="auto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Relating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sz w:val="28"/>
                <w:szCs w:val="28"/>
                <w:rtl w:val="0"/>
              </w:rPr>
              <w:t xml:space="preserve">explanation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 to the Big Questions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5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hyperlink r:id="rId12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u w:val="single"/>
                  <w:rtl w:val="0"/>
                </w:rPr>
                <w:t xml:space="preserve">BQ1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- What are the key ways of explaining ideas?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5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hyperlink r:id="rId13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u w:val="single"/>
                  <w:rtl w:val="0"/>
                </w:rPr>
                <w:t xml:space="preserve">BQ2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- What represents a ‘moral’ and an ‘immoral’ way of explaining ideas?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5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hyperlink r:id="rId14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u w:val="single"/>
                  <w:rtl w:val="0"/>
                </w:rPr>
                <w:t xml:space="preserve">BQ3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- How does the form of explanation change the nature of our understanding?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5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hyperlink r:id="rId15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u w:val="single"/>
                  <w:rtl w:val="0"/>
                </w:rPr>
                <w:t xml:space="preserve">BQ4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- Does our ability to explain knowledge depend on our perspective?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5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hyperlink r:id="rId16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u w:val="single"/>
                  <w:rtl w:val="0"/>
                </w:rPr>
                <w:t xml:space="preserve">BQ5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- How have forms of explanations changed over time?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5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hyperlink r:id="rId17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u w:val="single"/>
                  <w:rtl w:val="0"/>
                </w:rPr>
                <w:t xml:space="preserve">BQ6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- Is clarity of explanation the key characteristic of expert thinkers?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ageBreakBefore w:val="0"/>
        <w:ind w:left="0" w:firstLine="0"/>
        <w:rPr>
          <w:rFonts w:ascii="Proxima Nova" w:cs="Proxima Nova" w:eastAsia="Proxima Nova" w:hAnsi="Proxima Nova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rFonts w:ascii="Proxima Nova" w:cs="Proxima Nova" w:eastAsia="Proxima Nova" w:hAnsi="Proxima Nova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rFonts w:ascii="Proxima Nova" w:cs="Proxima Nova" w:eastAsia="Proxima Nova" w:hAnsi="Proxima Nova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30.0" w:type="dxa"/>
        <w:jc w:val="left"/>
        <w:tblBorders>
          <w:top w:color="a2c4c9" w:space="0" w:sz="8" w:val="single"/>
          <w:left w:color="a2c4c9" w:space="0" w:sz="8" w:val="single"/>
          <w:bottom w:color="a2c4c9" w:space="0" w:sz="8" w:val="single"/>
          <w:right w:color="a2c4c9" w:space="0" w:sz="8" w:val="single"/>
          <w:insideH w:color="a2c4c9" w:space="0" w:sz="8" w:val="single"/>
          <w:insideV w:color="a2c4c9" w:space="0" w:sz="8" w:val="single"/>
        </w:tblBorders>
        <w:tblLayout w:type="fixed"/>
        <w:tblLook w:val="0600"/>
      </w:tblPr>
      <w:tblGrid>
        <w:gridCol w:w="2850"/>
        <w:gridCol w:w="10080"/>
        <w:tblGridChange w:id="0">
          <w:tblGrid>
            <w:gridCol w:w="2850"/>
            <w:gridCol w:w="10080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00" w:lineRule="auto"/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Real-world contexts for explanation</w:t>
            </w:r>
          </w:p>
          <w:p w:rsidR="00000000" w:rsidDel="00000000" w:rsidP="00000000" w:rsidRDefault="00000000" w:rsidRPr="00000000" w14:paraId="00000031">
            <w:pPr>
              <w:spacing w:after="200" w:lineRule="auto"/>
              <w:rPr>
                <w:rFonts w:ascii="Proxima Nova" w:cs="Proxima Nova" w:eastAsia="Proxima Nova" w:hAnsi="Proxima Nova"/>
                <w:b w:val="1"/>
                <w:i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The media sources below explicitly mention explanation, and discuss this key concept in a real-world context. Use the find command (ie Command/Control+F) to locate the term in the article or transcript of the video, and you’ll see where it features. Check back regularly, as we update these media sources every month.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200" w:lineRule="auto"/>
              <w:rPr>
                <w:rFonts w:ascii="Proxima Nova" w:cs="Proxima Nova" w:eastAsia="Proxima Nova" w:hAnsi="Proxima Nova"/>
                <w:b w:val="1"/>
                <w:i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i w:val="1"/>
                <w:color w:val="333333"/>
                <w:rtl w:val="0"/>
              </w:rPr>
              <w:t xml:space="preserve">Big Question / knowledge framework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200" w:lineRule="auto"/>
              <w:rPr>
                <w:rFonts w:ascii="Proxima Nova" w:cs="Proxima Nova" w:eastAsia="Proxima Nova" w:hAnsi="Proxima Nova"/>
                <w:b w:val="1"/>
                <w:i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i w:val="1"/>
                <w:color w:val="333333"/>
                <w:rtl w:val="0"/>
              </w:rPr>
              <w:t xml:space="preserve">Description of media source and story and links to the course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200" w:lineRule="auto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BQ3 / Methods &amp; tools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An </w:t>
            </w:r>
            <w:hyperlink r:id="rId18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Atlantic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arguing that the word ‘problematic’ is misused by people. </w:t>
            </w:r>
            <w:hyperlink r:id="rId19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Language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2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200" w:lineRule="auto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BQ4 / Perspectives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21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Guardian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reporting on analysis that suggests female scientists are less likely to be credited for new discoveries. </w:t>
            </w:r>
            <w:hyperlink r:id="rId22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23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c3aa9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200" w:lineRule="auto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BQ5 / Methods &amp; tools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24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Guardian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which considers whether machine learning means the end of the scientific method. </w:t>
            </w:r>
            <w:hyperlink r:id="rId25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26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Technology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27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Mathematics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28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New Humanist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podcast, featuring Carlo Rovelli, referred to by some as the ‘poet of physics’ for his work on quantum theory. </w:t>
            </w:r>
            <w:hyperlink r:id="rId29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3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Mathematics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31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Technology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32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33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Vox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examining the reports that the US and other Western governments are treating accusations that Covid began in a lab increasingly seriously. </w:t>
            </w:r>
            <w:hyperlink r:id="rId34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35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36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37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38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Big Think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looking at the claims of an astrophysicist that ‘dark fluid’ represents the missing 95% of the mass of the universe. </w:t>
            </w:r>
            <w:hyperlink r:id="rId39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, </w:t>
            </w:r>
            <w:hyperlink r:id="rId4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mathematics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sectPr>
      <w:footerReference r:id="rId41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ugaz One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pageBreakBefore w:val="0"/>
      <w:jc w:val="right"/>
      <w:rPr>
        <w:color w:val="45818e"/>
      </w:rPr>
    </w:pPr>
    <w:r w:rsidDel="00000000" w:rsidR="00000000" w:rsidRPr="00000000">
      <w:rPr>
        <w:rFonts w:ascii="Proxima Nova" w:cs="Proxima Nova" w:eastAsia="Proxima Nova" w:hAnsi="Proxima Nova"/>
        <w:color w:val="45818e"/>
        <w:sz w:val="18"/>
        <w:szCs w:val="18"/>
        <w:rtl w:val="0"/>
      </w:rPr>
      <w:t xml:space="preserve">©theoryofknowledge.net 2022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ageBreakBefore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theoryofknowledge.net/areas-of-knowledge/mathematics/" TargetMode="External"/><Relationship Id="rId20" Type="http://schemas.openxmlformats.org/officeDocument/2006/relationships/hyperlink" Target="https://theoryofknowledge.net/areas-of-knowledge/human-sciences/" TargetMode="External"/><Relationship Id="rId41" Type="http://schemas.openxmlformats.org/officeDocument/2006/relationships/footer" Target="footer1.xml"/><Relationship Id="rId22" Type="http://schemas.openxmlformats.org/officeDocument/2006/relationships/hyperlink" Target="https://theoryofknowledge.net/areas-of-knowledge/natural-sciences/" TargetMode="External"/><Relationship Id="rId21" Type="http://schemas.openxmlformats.org/officeDocument/2006/relationships/hyperlink" Target="https://www.theguardian.com/uk-news/2022/jun/22/female-scientists-less-likely-to-be-given-authorship-credits-analysis-finds" TargetMode="External"/><Relationship Id="rId24" Type="http://schemas.openxmlformats.org/officeDocument/2006/relationships/hyperlink" Target="https://www.theguardian.com/technology/2022/jan/09/are-we-witnessing-the-dawn-of-post-theory-science" TargetMode="External"/><Relationship Id="rId23" Type="http://schemas.openxmlformats.org/officeDocument/2006/relationships/hyperlink" Target="https://theoryofknowledge.net/areas-of-knowledge/human-science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n.wikipedia.org/wiki/Michael_Shermer" TargetMode="External"/><Relationship Id="rId26" Type="http://schemas.openxmlformats.org/officeDocument/2006/relationships/hyperlink" Target="https://theoryofknowledge.net/the-tok-course/tok-optional-themes/knowledge-and-technology/" TargetMode="External"/><Relationship Id="rId25" Type="http://schemas.openxmlformats.org/officeDocument/2006/relationships/hyperlink" Target="https://theoryofknowledge.net/areas-of-knowledge/natural-sciences/" TargetMode="External"/><Relationship Id="rId28" Type="http://schemas.openxmlformats.org/officeDocument/2006/relationships/hyperlink" Target="https://newhumanist.org.uk/articles/5867/quantum-physics-and-philosophy-w-carlo-rovelli" TargetMode="External"/><Relationship Id="rId27" Type="http://schemas.openxmlformats.org/officeDocument/2006/relationships/hyperlink" Target="https://theoryofknowledge.net/areas-of-knowledge/mathematics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hyperlink" Target="https://theoryofknowledge.net/areas-of-knowledge/natural-sciences/" TargetMode="External"/><Relationship Id="rId7" Type="http://schemas.openxmlformats.org/officeDocument/2006/relationships/hyperlink" Target="https://en.wikipedia.org/wiki/Thomas_Aquinas" TargetMode="External"/><Relationship Id="rId8" Type="http://schemas.openxmlformats.org/officeDocument/2006/relationships/hyperlink" Target="https://en.wikipedia.org/wiki/Saki" TargetMode="External"/><Relationship Id="rId31" Type="http://schemas.openxmlformats.org/officeDocument/2006/relationships/hyperlink" Target="https://theoryofknowledge.net/the-tok-themes/tok-optional-themes/knowledge-and-technology/" TargetMode="External"/><Relationship Id="rId30" Type="http://schemas.openxmlformats.org/officeDocument/2006/relationships/hyperlink" Target="https://theoryofknowledge.net/areas-of-knowledge/mathematics/" TargetMode="External"/><Relationship Id="rId11" Type="http://schemas.openxmlformats.org/officeDocument/2006/relationships/hyperlink" Target="https://en.wikipedia.org/wiki/Ivar_Giaever" TargetMode="External"/><Relationship Id="rId33" Type="http://schemas.openxmlformats.org/officeDocument/2006/relationships/hyperlink" Target="https://www.vox.com/22453571/lab-leak-covid-19-coronavirus-hypothesis-wuhan-virology-china" TargetMode="External"/><Relationship Id="rId10" Type="http://schemas.openxmlformats.org/officeDocument/2006/relationships/hyperlink" Target="https://en.wikipedia.org/wiki/Eug%C3%A8ne_Ionesco" TargetMode="External"/><Relationship Id="rId32" Type="http://schemas.openxmlformats.org/officeDocument/2006/relationships/hyperlink" Target="https://theoryofknowledge.net/the-tok-themes/knowledge-and-the-knower/" TargetMode="External"/><Relationship Id="rId13" Type="http://schemas.openxmlformats.org/officeDocument/2006/relationships/hyperlink" Target="https://theoryofknowledge.net/members/6bq-framework/bq2-values/" TargetMode="External"/><Relationship Id="rId35" Type="http://schemas.openxmlformats.org/officeDocument/2006/relationships/hyperlink" Target="https://theoryofknowledge.net/areas-of-knowledge/human-sciences/" TargetMode="External"/><Relationship Id="rId12" Type="http://schemas.openxmlformats.org/officeDocument/2006/relationships/hyperlink" Target="https://theoryofknowledge.net/members/6bq-framework/bq1-foundations/" TargetMode="External"/><Relationship Id="rId34" Type="http://schemas.openxmlformats.org/officeDocument/2006/relationships/hyperlink" Target="https://theoryofknowledge.net/areas-of-knowledge/natural-sciences/" TargetMode="External"/><Relationship Id="rId15" Type="http://schemas.openxmlformats.org/officeDocument/2006/relationships/hyperlink" Target="https://theoryofknowledge.net/members/6bq-framework/bq4-perspectives/" TargetMode="External"/><Relationship Id="rId37" Type="http://schemas.openxmlformats.org/officeDocument/2006/relationships/hyperlink" Target="https://theoryofknowledge.net/the-tok-themes/knowledge-and-the-knower/" TargetMode="External"/><Relationship Id="rId14" Type="http://schemas.openxmlformats.org/officeDocument/2006/relationships/hyperlink" Target="https://theoryofknowledge.net/members/6bq-framework/bq3-spin/" TargetMode="External"/><Relationship Id="rId36" Type="http://schemas.openxmlformats.org/officeDocument/2006/relationships/hyperlink" Target="https://theoryofknowledge.net/the-tok-themes/tok-optional-themes/knowledge-and-politics/" TargetMode="External"/><Relationship Id="rId17" Type="http://schemas.openxmlformats.org/officeDocument/2006/relationships/hyperlink" Target="https://theoryofknowledge.net/members/6bq-framework/bq6-experts/" TargetMode="External"/><Relationship Id="rId39" Type="http://schemas.openxmlformats.org/officeDocument/2006/relationships/hyperlink" Target="https://theoryofknowledge.net/areas-of-knowledge/natural-sciences/" TargetMode="External"/><Relationship Id="rId16" Type="http://schemas.openxmlformats.org/officeDocument/2006/relationships/hyperlink" Target="https://theoryofknowledge.net/members/6bq-framework/bq5-creativity/" TargetMode="External"/><Relationship Id="rId38" Type="http://schemas.openxmlformats.org/officeDocument/2006/relationships/hyperlink" Target="https://bigthink.com/surprising-science/astrophysicist-dark-fluid-missing-95-percent-universe" TargetMode="External"/><Relationship Id="rId19" Type="http://schemas.openxmlformats.org/officeDocument/2006/relationships/hyperlink" Target="https://theoryofknowledge.net/the-tok-themes/tok-optional-themes/knowledge-and-language/" TargetMode="External"/><Relationship Id="rId18" Type="http://schemas.openxmlformats.org/officeDocument/2006/relationships/hyperlink" Target="https://www.theatlantic.com/ideas/archive/2021/10/problem-with-word-problematic/620289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FugazOn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